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54" w:rsidRPr="00A120D0" w:rsidRDefault="00DE5254" w:rsidP="00DE5254">
      <w:pPr>
        <w:shd w:val="clear" w:color="auto" w:fill="FFFFFF"/>
        <w:spacing w:after="0" w:line="240" w:lineRule="auto"/>
        <w:ind w:left="5664" w:right="45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ЗАТВЕРДЖЕНО</w:t>
      </w:r>
    </w:p>
    <w:p w:rsidR="00DE5254" w:rsidRPr="00A120D0" w:rsidRDefault="00DE5254" w:rsidP="00DE5254">
      <w:pPr>
        <w:shd w:val="clear" w:color="auto" w:fill="FFFFFF"/>
        <w:spacing w:after="0" w:line="240" w:lineRule="auto"/>
        <w:ind w:left="5664" w:right="4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наказ </w:t>
      </w:r>
      <w:proofErr w:type="spellStart"/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Східного</w:t>
      </w:r>
      <w:proofErr w:type="spellEnd"/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міжрегіонального</w:t>
      </w:r>
      <w:proofErr w:type="spellEnd"/>
    </w:p>
    <w:p w:rsidR="00DE5254" w:rsidRPr="00A120D0" w:rsidRDefault="00DE5254" w:rsidP="00DE5254">
      <w:pPr>
        <w:shd w:val="clear" w:color="auto" w:fill="FFFFFF"/>
        <w:spacing w:after="0" w:line="240" w:lineRule="auto"/>
        <w:ind w:left="5664" w:right="45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120D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управління Державної служби України з питань праці</w:t>
      </w:r>
    </w:p>
    <w:p w:rsidR="00DE5254" w:rsidRPr="00A120D0" w:rsidRDefault="00DE5254" w:rsidP="00DE5254">
      <w:pPr>
        <w:shd w:val="clear" w:color="auto" w:fill="FFFFFF"/>
        <w:spacing w:after="0" w:line="240" w:lineRule="auto"/>
        <w:ind w:left="5664" w:right="45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12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0D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02 вересня 2021 </w:t>
      </w:r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 № </w:t>
      </w:r>
      <w:r w:rsidRPr="00A120D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1681</w:t>
      </w:r>
    </w:p>
    <w:p w:rsidR="003902EC" w:rsidRDefault="003902EC" w:rsidP="00872233">
      <w:pPr>
        <w:shd w:val="clear" w:color="auto" w:fill="FFFFFF"/>
        <w:spacing w:before="150"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_GoBack"/>
      <w:bookmarkEnd w:id="0"/>
    </w:p>
    <w:p w:rsidR="00037908" w:rsidRPr="003902EC" w:rsidRDefault="00037908" w:rsidP="00872233">
      <w:pPr>
        <w:shd w:val="clear" w:color="auto" w:fill="FFFFFF"/>
        <w:spacing w:before="150"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90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УМОВИ</w:t>
      </w:r>
      <w:r w:rsidRPr="0039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2E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проведення конкурсу</w:t>
      </w:r>
    </w:p>
    <w:p w:rsidR="000A4528" w:rsidRDefault="00037908" w:rsidP="000A4528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902E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 зайняття поса</w:t>
      </w:r>
      <w:r w:rsidR="00E06A1F" w:rsidRPr="003902E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ди</w:t>
      </w:r>
      <w:r w:rsidR="008012EA" w:rsidRPr="003902E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державної служби </w:t>
      </w:r>
      <w:r w:rsidR="000A452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категорії «В»</w:t>
      </w:r>
    </w:p>
    <w:p w:rsidR="00E9460C" w:rsidRDefault="000A4528" w:rsidP="000A4528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A4528">
        <w:rPr>
          <w:rFonts w:ascii="Times New Roman" w:hAnsi="Times New Roman" w:cs="Times New Roman"/>
          <w:bCs/>
          <w:sz w:val="24"/>
          <w:szCs w:val="24"/>
          <w:lang w:val="uk-UA"/>
        </w:rPr>
        <w:t>головного державного інспектора сектору розслідування, аналізу та обліку аварій і виробничого травматизму у східному напрямку</w:t>
      </w:r>
    </w:p>
    <w:p w:rsidR="000A4528" w:rsidRDefault="000A4528" w:rsidP="000A4528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A4528">
        <w:rPr>
          <w:rFonts w:ascii="Times New Roman" w:hAnsi="Times New Roman" w:cs="Times New Roman"/>
          <w:bCs/>
          <w:sz w:val="24"/>
          <w:szCs w:val="24"/>
          <w:lang w:val="uk-UA"/>
        </w:rPr>
        <w:t>відділу розслідування, аналізу та обліку аварій і виробничого травматизму</w:t>
      </w:r>
    </w:p>
    <w:p w:rsidR="00037908" w:rsidRPr="000A4528" w:rsidRDefault="003902EC" w:rsidP="000A4528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02E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(з закріпленням робочого місця</w:t>
      </w:r>
      <w:r w:rsidR="008012EA" w:rsidRPr="003902E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 місті Лисичанськ)</w:t>
      </w:r>
    </w:p>
    <w:p w:rsidR="00907CAA" w:rsidRPr="003902EC" w:rsidRDefault="00907CAA" w:rsidP="002C194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539"/>
        <w:gridCol w:w="6524"/>
      </w:tblGrid>
      <w:tr w:rsidR="002C1941" w:rsidRPr="002C1941" w:rsidTr="002C1941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87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A4528" w:rsidRPr="002C1941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Pr="002C1941" w:rsidRDefault="000A452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Pr="00D93DA4" w:rsidRDefault="000A4528" w:rsidP="009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участь;  </w:t>
            </w:r>
          </w:p>
          <w:p w:rsidR="000A4528" w:rsidRPr="00D93DA4" w:rsidRDefault="000A4528" w:rsidP="0094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- у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у сферах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промислової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528" w:rsidRPr="00D93DA4" w:rsidRDefault="000A4528" w:rsidP="0094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- у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загальнодержавної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розробленні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з питань,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відносяться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відділу;</w:t>
            </w:r>
          </w:p>
          <w:p w:rsidR="000A4528" w:rsidRPr="00D93DA4" w:rsidRDefault="000A4528" w:rsidP="009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-  у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комісій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нещасних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виробництві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528" w:rsidRPr="00D93DA4" w:rsidRDefault="000A4528" w:rsidP="009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-  у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удосконалення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з питань,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відносяться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відділу;</w:t>
            </w:r>
          </w:p>
          <w:p w:rsidR="000A4528" w:rsidRPr="00D93DA4" w:rsidRDefault="000A4528" w:rsidP="00943500">
            <w:pPr>
              <w:tabs>
                <w:tab w:val="left" w:pos="470"/>
              </w:tabs>
              <w:spacing w:after="0" w:line="240" w:lineRule="auto"/>
              <w:ind w:right="125"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- у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методичної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головам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комісій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розслідувань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повноти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діючого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відділу, заступника начальника відділу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завідувача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сектору ).</w:t>
            </w:r>
          </w:p>
          <w:p w:rsidR="000A4528" w:rsidRPr="00D93DA4" w:rsidRDefault="000A4528" w:rsidP="00943500">
            <w:pPr>
              <w:tabs>
                <w:tab w:val="left" w:pos="470"/>
              </w:tabs>
              <w:spacing w:after="0" w:line="240" w:lineRule="auto"/>
              <w:ind w:right="125"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2) Проводить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аварій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нещасних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підлягають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спеціальному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розслідуванню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причини,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таким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аваріям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528" w:rsidRPr="00D93DA4" w:rsidRDefault="000A4528" w:rsidP="00943500">
            <w:pPr>
              <w:tabs>
                <w:tab w:val="left" w:pos="470"/>
              </w:tabs>
              <w:spacing w:after="0" w:line="240" w:lineRule="auto"/>
              <w:ind w:right="125"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своєчасністю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об’єктивністю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розслідувань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нещасних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виробництвах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документальним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оформленням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веденням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відділу, заступника начальника відділу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завідувача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сектору.</w:t>
            </w:r>
          </w:p>
          <w:p w:rsidR="000A4528" w:rsidRPr="00D93DA4" w:rsidRDefault="000A4528" w:rsidP="00943500">
            <w:pPr>
              <w:tabs>
                <w:tab w:val="left" w:pos="470"/>
              </w:tabs>
              <w:spacing w:after="0" w:line="240" w:lineRule="auto"/>
              <w:ind w:right="125"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роботодавцям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працівникам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роз’яснення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ефективних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можливим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порушенням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відносяться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відділу.</w:t>
            </w:r>
          </w:p>
          <w:p w:rsidR="000A4528" w:rsidRPr="00D93DA4" w:rsidRDefault="000A4528" w:rsidP="00943500">
            <w:pPr>
              <w:tabs>
                <w:tab w:val="left" w:pos="470"/>
              </w:tabs>
              <w:spacing w:after="0" w:line="240" w:lineRule="auto"/>
              <w:ind w:right="125"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5) В межах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4528" w:rsidRPr="00D93DA4" w:rsidRDefault="000A4528" w:rsidP="00943500">
            <w:pPr>
              <w:tabs>
                <w:tab w:val="left" w:pos="470"/>
              </w:tabs>
              <w:spacing w:after="0" w:line="240" w:lineRule="auto"/>
              <w:ind w:right="125"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нещасних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призначено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спеціальне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528" w:rsidRPr="00D93DA4" w:rsidRDefault="000A4528" w:rsidP="00943500">
            <w:pPr>
              <w:tabs>
                <w:tab w:val="left" w:pos="470"/>
              </w:tabs>
              <w:spacing w:after="0" w:line="240" w:lineRule="auto"/>
              <w:ind w:right="125"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аварій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нещасних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підлягають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спеціальному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розслідуванню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причин,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підготовку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пропозицій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таким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аваріям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528" w:rsidRPr="00D93DA4" w:rsidRDefault="000A4528" w:rsidP="00943500">
            <w:pPr>
              <w:tabs>
                <w:tab w:val="left" w:pos="470"/>
              </w:tabs>
              <w:spacing w:after="0" w:line="240" w:lineRule="auto"/>
              <w:ind w:right="125"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про стан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з питань,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відносяться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відділу, про свою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діалогу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з питань,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відносяться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відділу;</w:t>
            </w:r>
          </w:p>
          <w:p w:rsidR="000A4528" w:rsidRPr="00D93DA4" w:rsidRDefault="000A4528" w:rsidP="00943500">
            <w:pPr>
              <w:tabs>
                <w:tab w:val="left" w:pos="470"/>
              </w:tabs>
              <w:spacing w:after="0" w:line="240" w:lineRule="auto"/>
              <w:ind w:right="125"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звітів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з питань,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сектору</w:t>
            </w:r>
          </w:p>
          <w:p w:rsidR="000A4528" w:rsidRPr="00D93DA4" w:rsidRDefault="000A4528" w:rsidP="00943500">
            <w:pPr>
              <w:tabs>
                <w:tab w:val="left" w:pos="470"/>
              </w:tabs>
              <w:spacing w:after="0" w:line="240" w:lineRule="auto"/>
              <w:ind w:right="125"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Координує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роботу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у сферах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промислової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з питань,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відносяться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сектору.</w:t>
            </w:r>
          </w:p>
          <w:p w:rsidR="000A4528" w:rsidRPr="00D93DA4" w:rsidRDefault="000A4528" w:rsidP="00943500">
            <w:pPr>
              <w:tabs>
                <w:tab w:val="left" w:pos="470"/>
              </w:tabs>
              <w:spacing w:after="0" w:line="240" w:lineRule="auto"/>
              <w:ind w:right="125"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своєчасне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якісне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наказів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528" w:rsidRPr="00D93DA4" w:rsidRDefault="000A4528" w:rsidP="00943500">
            <w:pPr>
              <w:tabs>
                <w:tab w:val="left" w:pos="470"/>
              </w:tabs>
              <w:spacing w:after="0" w:line="240" w:lineRule="auto"/>
              <w:ind w:right="125"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наказів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Міжрегіонального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про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нещасного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нещасного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комісією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призначеною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528" w:rsidRPr="00D93DA4" w:rsidRDefault="000A4528" w:rsidP="00943500">
            <w:pPr>
              <w:tabs>
                <w:tab w:val="left" w:pos="470"/>
              </w:tabs>
              <w:spacing w:after="0" w:line="240" w:lineRule="auto"/>
              <w:ind w:right="125"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з питань,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діяльністю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відділу.</w:t>
            </w:r>
          </w:p>
          <w:p w:rsidR="000A4528" w:rsidRPr="00D93DA4" w:rsidRDefault="000A4528" w:rsidP="00943500">
            <w:pPr>
              <w:tabs>
                <w:tab w:val="left" w:pos="470"/>
              </w:tabs>
              <w:spacing w:after="0" w:line="240" w:lineRule="auto"/>
              <w:ind w:right="125"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вказівки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безпосереднього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звітує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проведену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роботу.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Міжрегіональне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про сектор.</w:t>
            </w:r>
          </w:p>
        </w:tc>
      </w:tr>
      <w:tr w:rsidR="000A4528" w:rsidRPr="00E9460C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Pr="002C1941" w:rsidRDefault="000A452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Pr="009A712D" w:rsidRDefault="000A4528" w:rsidP="007711B3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A712D">
              <w:rPr>
                <w:color w:val="000000" w:themeColor="text1"/>
                <w:lang w:val="uk-UA"/>
              </w:rPr>
              <w:t>посадовий оклад – 5500 грн.</w:t>
            </w:r>
          </w:p>
          <w:p w:rsidR="000A4528" w:rsidRPr="002C1941" w:rsidRDefault="00E9460C" w:rsidP="007711B3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9A712D">
              <w:rPr>
                <w:color w:val="000000" w:themeColor="text1"/>
                <w:lang w:val="uk-UA"/>
              </w:rPr>
              <w:t xml:space="preserve">надбавки, доплати та премії </w:t>
            </w:r>
            <w:r w:rsidRPr="009A712D">
              <w:rPr>
                <w:color w:val="000000" w:themeColor="text1"/>
                <w:lang w:val="uk-UA" w:eastAsia="uk-UA"/>
              </w:rPr>
              <w:t>визначені статтею 52 Закону України «Про державну службу»,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  <w:r w:rsidRPr="009A712D">
              <w:rPr>
                <w:color w:val="000000" w:themeColor="text1"/>
                <w:lang w:val="uk-UA"/>
              </w:rPr>
              <w:t xml:space="preserve"> (із змінами)</w:t>
            </w:r>
          </w:p>
        </w:tc>
      </w:tr>
      <w:tr w:rsidR="000A4528" w:rsidRPr="002C1941" w:rsidTr="002C1941">
        <w:trPr>
          <w:trHeight w:val="877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Pr="002C1941" w:rsidRDefault="000A4528" w:rsidP="008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255D" w:rsidRDefault="0038255D" w:rsidP="0038255D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C87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  <w:proofErr w:type="spellEnd"/>
            <w:r w:rsidRPr="00F3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4528" w:rsidRPr="0038255D" w:rsidRDefault="0038255D" w:rsidP="0038255D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строк </w:t>
            </w:r>
            <w:proofErr w:type="spellStart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призначення</w:t>
            </w:r>
            <w:proofErr w:type="spellEnd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особи, яка </w:t>
            </w:r>
            <w:proofErr w:type="spellStart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досягла</w:t>
            </w:r>
            <w:proofErr w:type="spellEnd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65-річного </w:t>
            </w:r>
            <w:proofErr w:type="spellStart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віку</w:t>
            </w:r>
            <w:proofErr w:type="spellEnd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становить один </w:t>
            </w:r>
            <w:proofErr w:type="spellStart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рік</w:t>
            </w:r>
            <w:proofErr w:type="spellEnd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правом повторного </w:t>
            </w:r>
            <w:proofErr w:type="spellStart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призначення</w:t>
            </w:r>
            <w:proofErr w:type="spellEnd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без </w:t>
            </w:r>
            <w:proofErr w:type="spellStart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обов’язкового</w:t>
            </w:r>
            <w:proofErr w:type="spellEnd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конкурсу </w:t>
            </w:r>
            <w:proofErr w:type="spellStart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щороку</w:t>
            </w:r>
            <w:proofErr w:type="spellEnd"/>
          </w:p>
        </w:tc>
      </w:tr>
      <w:tr w:rsidR="005304F2" w:rsidRPr="002C1941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4F2" w:rsidRPr="002C1941" w:rsidRDefault="005304F2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4F2" w:rsidRDefault="0053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:rsidR="005304F2" w:rsidRDefault="0053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5304F2" w:rsidRDefault="0053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:rsidR="005304F2" w:rsidRDefault="0053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5304F2" w:rsidRDefault="0053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5304F2" w:rsidRDefault="0053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304F2" w:rsidRDefault="0053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заяву, в якій повідомляє, що до неї не застосовуються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5304F2" w:rsidRDefault="005304F2">
            <w:pPr>
              <w:pStyle w:val="rvps2"/>
              <w:shd w:val="clear" w:color="auto" w:fill="FFFFFF"/>
              <w:spacing w:before="0" w:beforeAutospacing="0" w:after="0" w:afterAutospacing="0" w:line="254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Подача додатків не є обов’язковою.</w:t>
            </w:r>
          </w:p>
          <w:p w:rsidR="005304F2" w:rsidRDefault="005304F2">
            <w:pPr>
              <w:pStyle w:val="rvps2"/>
              <w:shd w:val="clear" w:color="auto" w:fill="FFFFFF"/>
              <w:spacing w:before="0" w:beforeAutospacing="0" w:after="0" w:afterAutospacing="0" w:line="254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  <w:r>
              <w:rPr>
                <w:rStyle w:val="rvts37"/>
                <w:b/>
                <w:bCs/>
                <w:sz w:val="2"/>
                <w:szCs w:val="2"/>
                <w:vertAlign w:val="superscript"/>
                <w:lang w:val="uk-UA" w:eastAsia="en-US"/>
              </w:rPr>
              <w:t>-</w:t>
            </w:r>
            <w:r>
              <w:rPr>
                <w:rStyle w:val="rvts37"/>
                <w:b/>
                <w:bCs/>
                <w:sz w:val="16"/>
                <w:szCs w:val="16"/>
                <w:vertAlign w:val="superscript"/>
                <w:lang w:val="uk-UA" w:eastAsia="en-US"/>
              </w:rPr>
              <w:t>1</w:t>
            </w:r>
            <w:r>
              <w:rPr>
                <w:lang w:val="uk-UA" w:eastAsia="en-US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5304F2" w:rsidRDefault="005304F2">
            <w:pPr>
              <w:pStyle w:val="rvps2"/>
              <w:shd w:val="clear" w:color="auto" w:fill="FFFFFF"/>
              <w:spacing w:before="0" w:beforeAutospacing="0" w:after="0" w:afterAutospacing="0" w:line="254" w:lineRule="auto"/>
              <w:jc w:val="both"/>
              <w:rPr>
                <w:color w:val="333333"/>
                <w:lang w:val="uk-UA" w:eastAsia="en-US"/>
              </w:rPr>
            </w:pPr>
          </w:p>
          <w:p w:rsidR="005304F2" w:rsidRDefault="00E94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B362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>Інформація приймається до 15 год. 45 хв. 17 вересня 2021 року</w:t>
            </w:r>
            <w:bookmarkStart w:id="2" w:name="n1176"/>
            <w:bookmarkStart w:id="3" w:name="n1177"/>
            <w:bookmarkStart w:id="4" w:name="n1630"/>
            <w:bookmarkEnd w:id="2"/>
            <w:bookmarkEnd w:id="3"/>
            <w:bookmarkEnd w:id="4"/>
          </w:p>
        </w:tc>
      </w:tr>
      <w:tr w:rsidR="005304F2" w:rsidRPr="002C1941" w:rsidTr="002C1941">
        <w:trPr>
          <w:trHeight w:val="856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4F2" w:rsidRPr="002C1941" w:rsidRDefault="005304F2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4F2" w:rsidRDefault="0053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9460C" w:rsidRPr="002C1941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0C" w:rsidRPr="005B362E" w:rsidRDefault="00E9460C" w:rsidP="0054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</w:pPr>
            <w:r w:rsidRPr="005B362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  <w:t>Дата і час початку проведення тестування кандидатів.</w:t>
            </w:r>
          </w:p>
          <w:p w:rsidR="00E9460C" w:rsidRPr="005B362E" w:rsidRDefault="00E9460C" w:rsidP="0054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</w:pPr>
            <w:r w:rsidRPr="005B362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  <w:t xml:space="preserve">Місце або спосіб проведення тестування. </w:t>
            </w:r>
          </w:p>
          <w:p w:rsidR="00E9460C" w:rsidRPr="005B362E" w:rsidRDefault="00E9460C" w:rsidP="005416A3">
            <w:pPr>
              <w:spacing w:after="0" w:line="240" w:lineRule="auto"/>
              <w:rPr>
                <w:color w:val="1F4E79" w:themeColor="accent1" w:themeShade="80"/>
                <w:shd w:val="clear" w:color="auto" w:fill="FFFFFF"/>
                <w:lang w:val="uk-UA"/>
              </w:rPr>
            </w:pPr>
            <w:r w:rsidRPr="005B362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  <w:r w:rsidRPr="005B362E">
              <w:rPr>
                <w:color w:val="1F4E79" w:themeColor="accent1" w:themeShade="80"/>
                <w:shd w:val="clear" w:color="auto" w:fill="FFFFFF"/>
                <w:lang w:val="uk-UA"/>
              </w:rPr>
              <w:t xml:space="preserve"> </w:t>
            </w:r>
          </w:p>
          <w:p w:rsidR="00E9460C" w:rsidRPr="005B362E" w:rsidRDefault="00E9460C" w:rsidP="0054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</w:pPr>
            <w:r w:rsidRPr="005B362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0C" w:rsidRPr="005B362E" w:rsidRDefault="00E9460C" w:rsidP="0054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</w:pPr>
          </w:p>
          <w:p w:rsidR="00E9460C" w:rsidRPr="005B362E" w:rsidRDefault="00E9460C" w:rsidP="0054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</w:pPr>
            <w:r w:rsidRPr="005B362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>23 вересня 2021 року 10 год. 00 хв.</w:t>
            </w:r>
          </w:p>
          <w:p w:rsidR="00E9460C" w:rsidRPr="005B362E" w:rsidRDefault="00E9460C" w:rsidP="00541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</w:pPr>
          </w:p>
          <w:p w:rsidR="00E9460C" w:rsidRPr="005B362E" w:rsidRDefault="00E9460C" w:rsidP="00541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</w:pPr>
            <w:r w:rsidRPr="005B362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  <w:t>Луганська область, м. Лисичанськ, вул. Малиновського, 1А (проведення тестування за фізичної присутності кандидата)</w:t>
            </w:r>
          </w:p>
          <w:p w:rsidR="00E9460C" w:rsidRPr="005B362E" w:rsidRDefault="00E9460C" w:rsidP="00541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</w:pPr>
            <w:r w:rsidRPr="005B362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  <w:t>Луганська область, м. Лисичанськ, вул. Малиновського, 1А (проведення співбесіди за фізичної присутності кандидата)</w:t>
            </w:r>
          </w:p>
          <w:p w:rsidR="00E9460C" w:rsidRPr="005B362E" w:rsidRDefault="00E9460C" w:rsidP="00541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</w:pPr>
          </w:p>
          <w:p w:rsidR="00E9460C" w:rsidRPr="005B362E" w:rsidRDefault="00E9460C" w:rsidP="00541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</w:pPr>
            <w:r w:rsidRPr="005B362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  <w:t>Луганська область, м. Лисичанськ, вул. Малиновського, 1А (проведення співбесіди за фізичної присутності кандидата)</w:t>
            </w:r>
          </w:p>
        </w:tc>
      </w:tr>
      <w:tr w:rsidR="000A4528" w:rsidRPr="002C1941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Pr="002C1941" w:rsidRDefault="000A4528" w:rsidP="008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Default="000A4528" w:rsidP="00EF46A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Пасічник Ірина Вікторівна, 0997448741,</w:t>
            </w:r>
          </w:p>
          <w:p w:rsidR="000A4528" w:rsidRPr="002C1941" w:rsidRDefault="000A4528" w:rsidP="001418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Горячева Марія Сергіївна 0501824433</w:t>
            </w: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09dn.smudsp@ukr.net</w:t>
            </w:r>
          </w:p>
        </w:tc>
      </w:tr>
      <w:tr w:rsidR="000A4528" w:rsidRPr="002C1941" w:rsidTr="002C1941">
        <w:trPr>
          <w:trHeight w:val="442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Pr="002C1941" w:rsidRDefault="000A452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0A4528" w:rsidRPr="002C1941" w:rsidTr="00872233">
        <w:trPr>
          <w:trHeight w:val="448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Pr="002C1941" w:rsidRDefault="000A452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Pr="002C1941" w:rsidRDefault="000A4528" w:rsidP="008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Pr="002C1941" w:rsidRDefault="000A4528" w:rsidP="002C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освіта, за освітнім ступенем не нижче молодшого бакалавра та/або бакалавра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A4528" w:rsidRPr="002C1941" w:rsidTr="00872233">
        <w:trPr>
          <w:trHeight w:val="286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Pr="002C1941" w:rsidRDefault="000A4528" w:rsidP="0087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Pr="002C1941" w:rsidRDefault="000A4528" w:rsidP="008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Pr="002C1941" w:rsidRDefault="000A4528" w:rsidP="008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потребує.</w:t>
            </w:r>
          </w:p>
        </w:tc>
      </w:tr>
      <w:tr w:rsidR="000A4528" w:rsidRPr="002C1941" w:rsidTr="00872233">
        <w:trPr>
          <w:trHeight w:val="420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Pr="002C1941" w:rsidRDefault="000A4528" w:rsidP="0087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Pr="002C1941" w:rsidRDefault="000A4528" w:rsidP="008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Default="000A4528" w:rsidP="008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  <w:p w:rsidR="000A4528" w:rsidRDefault="000A4528" w:rsidP="008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4528" w:rsidRPr="002C1941" w:rsidRDefault="000A4528" w:rsidP="008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528" w:rsidRPr="002C1941" w:rsidTr="002C1941">
        <w:trPr>
          <w:trHeight w:val="385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Pr="002C1941" w:rsidRDefault="000A452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A4528" w:rsidRPr="002C1941" w:rsidTr="002C1941">
        <w:trPr>
          <w:trHeight w:val="379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Pr="002C1941" w:rsidRDefault="000A4528" w:rsidP="0087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Pr="002C1941" w:rsidRDefault="000A4528" w:rsidP="0087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A4528" w:rsidRPr="002C1941" w:rsidTr="002C1941"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Pr="002C1941" w:rsidRDefault="000A4528" w:rsidP="00953FC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Pr="00D93DA4" w:rsidRDefault="000A4528" w:rsidP="00943500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Pr="00D93DA4" w:rsidRDefault="000A4528" w:rsidP="00943500">
            <w:pPr>
              <w:tabs>
                <w:tab w:val="left" w:pos="414"/>
              </w:tabs>
              <w:spacing w:after="0" w:line="240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чіткого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бачення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результату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528" w:rsidRPr="00D93DA4" w:rsidRDefault="000A4528" w:rsidP="00943500">
            <w:pPr>
              <w:tabs>
                <w:tab w:val="left" w:pos="414"/>
              </w:tabs>
              <w:spacing w:after="0" w:line="240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фокусувати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зусилля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результату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528" w:rsidRPr="00D93DA4" w:rsidRDefault="000A4528" w:rsidP="00943500">
            <w:pPr>
              <w:tabs>
                <w:tab w:val="left" w:pos="414"/>
              </w:tabs>
              <w:spacing w:after="0" w:line="240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запобігати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ефективно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долати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перешкоди</w:t>
            </w:r>
            <w:proofErr w:type="spellEnd"/>
          </w:p>
        </w:tc>
      </w:tr>
      <w:tr w:rsidR="000A4528" w:rsidRPr="002C1941" w:rsidTr="002C1941">
        <w:trPr>
          <w:trHeight w:val="917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A4528" w:rsidRPr="002C1941" w:rsidRDefault="000A4528" w:rsidP="00953FC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A4528" w:rsidRPr="00D93DA4" w:rsidRDefault="000A4528" w:rsidP="00943500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A4528" w:rsidRPr="00D93DA4" w:rsidRDefault="000A4528" w:rsidP="00943500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важливості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строків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процедур;</w:t>
            </w:r>
          </w:p>
          <w:p w:rsidR="000A4528" w:rsidRPr="00D93DA4" w:rsidRDefault="000A4528" w:rsidP="00943500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нести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можливі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528" w:rsidRPr="00D93DA4" w:rsidRDefault="000A4528" w:rsidP="00943500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на себе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дотримуватись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528" w:rsidRPr="003902EC" w:rsidTr="002C1941">
        <w:trPr>
          <w:trHeight w:val="316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4528" w:rsidRPr="002C1941" w:rsidRDefault="000A4528" w:rsidP="00953FC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4528" w:rsidRPr="00D93DA4" w:rsidRDefault="000A4528" w:rsidP="00943500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Цифрова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грамотність</w:t>
            </w:r>
            <w:proofErr w:type="spellEnd"/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4528" w:rsidRPr="00D93DA4" w:rsidRDefault="000A4528" w:rsidP="00943500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комп’ютерні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базове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офісне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спеціалізоване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програмне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для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ефективного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528" w:rsidRPr="00D93DA4" w:rsidRDefault="000A4528" w:rsidP="00943500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сервіси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ефективного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потрібної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перевіряти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надійність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у цифровому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середовищі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A4528" w:rsidRPr="00D93DA4" w:rsidRDefault="000A4528" w:rsidP="00943500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з документами в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форматах;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зберігати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накопичувати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впорядковувати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архівувати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цифрові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типів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528" w:rsidRPr="00D93DA4" w:rsidRDefault="000A4528" w:rsidP="00943500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eading=h.30j0zll" w:colFirst="0" w:colLast="0"/>
            <w:bookmarkEnd w:id="5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уникати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небезпек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в цифровому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середовищі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захищати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особисті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конфіденційні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528" w:rsidRPr="00D93DA4" w:rsidRDefault="000A4528" w:rsidP="00943500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реєстри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урядові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обміну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листування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528" w:rsidRPr="00D93DA4" w:rsidRDefault="000A4528" w:rsidP="00943500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спільні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календарі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сервіси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спільного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редагування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користуватись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кваліфікованим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(КЕП);</w:t>
            </w:r>
          </w:p>
          <w:p w:rsidR="000A4528" w:rsidRPr="00D93DA4" w:rsidRDefault="000A4528" w:rsidP="00943500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цифрові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528" w:rsidRPr="002C1941" w:rsidTr="002C1941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Pr="002C1941" w:rsidRDefault="000A452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A4528" w:rsidRPr="002C1941" w:rsidTr="002C1941">
        <w:trPr>
          <w:trHeight w:val="386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Pr="002C1941" w:rsidRDefault="000A4528" w:rsidP="0087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4528" w:rsidRPr="002C1941" w:rsidRDefault="000A4528" w:rsidP="0087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A4528" w:rsidRPr="002C1941" w:rsidTr="002C1941">
        <w:trPr>
          <w:trHeight w:val="103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A4528" w:rsidRPr="002C1941" w:rsidRDefault="000A4528" w:rsidP="00FF68F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A4528" w:rsidRPr="002C1941" w:rsidRDefault="000A4528" w:rsidP="00FF68FD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A4528" w:rsidRPr="002C1941" w:rsidRDefault="000A4528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0A4528" w:rsidRPr="002C1941" w:rsidRDefault="000A4528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0A4528" w:rsidRPr="002C1941" w:rsidRDefault="000A4528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державну службу»;</w:t>
            </w:r>
          </w:p>
          <w:p w:rsidR="000A4528" w:rsidRPr="002C1941" w:rsidRDefault="000A4528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запобігання корупції»</w:t>
            </w:r>
          </w:p>
          <w:p w:rsidR="000A4528" w:rsidRPr="002C1941" w:rsidRDefault="000A4528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0A4528" w:rsidRPr="002C1941" w:rsidTr="000A4528">
        <w:trPr>
          <w:trHeight w:val="1344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4528" w:rsidRPr="002C1941" w:rsidRDefault="000A4528" w:rsidP="00FF68F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4528" w:rsidRPr="002C1941" w:rsidRDefault="000A4528" w:rsidP="00FF68FD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4528" w:rsidRPr="00D93DA4" w:rsidRDefault="000A4528" w:rsidP="000A4528">
            <w:pPr>
              <w:tabs>
                <w:tab w:val="left" w:pos="522"/>
              </w:tabs>
              <w:spacing w:after="2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D93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4528" w:rsidRPr="002C1941" w:rsidRDefault="000A4528" w:rsidP="000A4528">
            <w:pPr>
              <w:tabs>
                <w:tab w:val="left" w:pos="412"/>
              </w:tabs>
              <w:spacing w:after="20" w:line="240" w:lineRule="auto"/>
              <w:ind w:left="2" w:right="125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Постанова </w:t>
            </w:r>
            <w:proofErr w:type="spellStart"/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України </w:t>
            </w:r>
            <w:proofErr w:type="spellStart"/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  <w:proofErr w:type="spellStart"/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квітня</w:t>
            </w:r>
            <w:proofErr w:type="spellEnd"/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р. № 337«Порядок </w:t>
            </w:r>
            <w:proofErr w:type="spellStart"/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розслідування</w:t>
            </w:r>
            <w:proofErr w:type="spellEnd"/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обліку</w:t>
            </w:r>
            <w:proofErr w:type="spellEnd"/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нещасних</w:t>
            </w:r>
            <w:proofErr w:type="spellEnd"/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професійних</w:t>
            </w:r>
            <w:proofErr w:type="spellEnd"/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захворювань</w:t>
            </w:r>
            <w:proofErr w:type="spellEnd"/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аварій</w:t>
            </w:r>
            <w:proofErr w:type="spellEnd"/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виробництві</w:t>
            </w:r>
            <w:proofErr w:type="spellEnd"/>
            <w:r w:rsidRPr="00D9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5D6470" w:rsidRPr="00CE6D4E" w:rsidRDefault="00DE5254">
      <w:pPr>
        <w:rPr>
          <w:lang w:val="uk-UA"/>
        </w:rPr>
      </w:pPr>
    </w:p>
    <w:sectPr w:rsidR="005D6470" w:rsidRPr="00CE6D4E" w:rsidSect="0087223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77A62"/>
    <w:rsid w:val="00037908"/>
    <w:rsid w:val="000A4528"/>
    <w:rsid w:val="00117B0C"/>
    <w:rsid w:val="0014183F"/>
    <w:rsid w:val="001753A7"/>
    <w:rsid w:val="00186C59"/>
    <w:rsid w:val="001A3E34"/>
    <w:rsid w:val="00237252"/>
    <w:rsid w:val="0024146A"/>
    <w:rsid w:val="0025615A"/>
    <w:rsid w:val="00281AEE"/>
    <w:rsid w:val="002A46DB"/>
    <w:rsid w:val="002C1941"/>
    <w:rsid w:val="00336429"/>
    <w:rsid w:val="00341D9F"/>
    <w:rsid w:val="00360906"/>
    <w:rsid w:val="0038255D"/>
    <w:rsid w:val="003902EC"/>
    <w:rsid w:val="00396A1C"/>
    <w:rsid w:val="003A4C27"/>
    <w:rsid w:val="003B2726"/>
    <w:rsid w:val="003B68FA"/>
    <w:rsid w:val="00477776"/>
    <w:rsid w:val="0048090E"/>
    <w:rsid w:val="004A7AE2"/>
    <w:rsid w:val="004B4017"/>
    <w:rsid w:val="004D73F3"/>
    <w:rsid w:val="004F729F"/>
    <w:rsid w:val="00514C76"/>
    <w:rsid w:val="00525A22"/>
    <w:rsid w:val="005304F2"/>
    <w:rsid w:val="00531A70"/>
    <w:rsid w:val="00565BD0"/>
    <w:rsid w:val="00584047"/>
    <w:rsid w:val="005A52CA"/>
    <w:rsid w:val="00605A15"/>
    <w:rsid w:val="00631AC8"/>
    <w:rsid w:val="00643F8F"/>
    <w:rsid w:val="006D2B01"/>
    <w:rsid w:val="00700AEE"/>
    <w:rsid w:val="007711B3"/>
    <w:rsid w:val="00781D36"/>
    <w:rsid w:val="007A3B3A"/>
    <w:rsid w:val="007A7988"/>
    <w:rsid w:val="008012EA"/>
    <w:rsid w:val="008418FA"/>
    <w:rsid w:val="00872233"/>
    <w:rsid w:val="008827B5"/>
    <w:rsid w:val="008F4447"/>
    <w:rsid w:val="00907CAA"/>
    <w:rsid w:val="00933D65"/>
    <w:rsid w:val="009459DC"/>
    <w:rsid w:val="00953FCA"/>
    <w:rsid w:val="00977A62"/>
    <w:rsid w:val="009A712D"/>
    <w:rsid w:val="00A33D32"/>
    <w:rsid w:val="00A954A3"/>
    <w:rsid w:val="00AB774C"/>
    <w:rsid w:val="00B801D7"/>
    <w:rsid w:val="00BE554E"/>
    <w:rsid w:val="00C07152"/>
    <w:rsid w:val="00C13DFB"/>
    <w:rsid w:val="00CA64CE"/>
    <w:rsid w:val="00CB39D5"/>
    <w:rsid w:val="00CE6D4E"/>
    <w:rsid w:val="00D715C3"/>
    <w:rsid w:val="00DE5254"/>
    <w:rsid w:val="00E06A1F"/>
    <w:rsid w:val="00E52095"/>
    <w:rsid w:val="00E52CD8"/>
    <w:rsid w:val="00E9460C"/>
    <w:rsid w:val="00EF46A2"/>
    <w:rsid w:val="00F139F0"/>
    <w:rsid w:val="00F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908"/>
  </w:style>
  <w:style w:type="paragraph" w:customStyle="1" w:styleId="rvps17">
    <w:name w:val="rvps1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7908"/>
  </w:style>
  <w:style w:type="character" w:customStyle="1" w:styleId="rvts64">
    <w:name w:val="rvts64"/>
    <w:basedOn w:val="a0"/>
    <w:rsid w:val="00037908"/>
  </w:style>
  <w:style w:type="paragraph" w:customStyle="1" w:styleId="rvps7">
    <w:name w:val="rvps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7908"/>
  </w:style>
  <w:style w:type="paragraph" w:customStyle="1" w:styleId="rvps6">
    <w:name w:val="rvps6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7908"/>
    <w:rPr>
      <w:i/>
      <w:iCs/>
    </w:rPr>
  </w:style>
  <w:style w:type="paragraph" w:customStyle="1" w:styleId="rvps18">
    <w:name w:val="rvps1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9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908"/>
    <w:rPr>
      <w:color w:val="800080"/>
      <w:u w:val="single"/>
    </w:rPr>
  </w:style>
  <w:style w:type="paragraph" w:customStyle="1" w:styleId="rvps2">
    <w:name w:val="rvps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37908"/>
  </w:style>
  <w:style w:type="paragraph" w:customStyle="1" w:styleId="rvps4">
    <w:name w:val="rvps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37908"/>
  </w:style>
  <w:style w:type="paragraph" w:customStyle="1" w:styleId="rvps15">
    <w:name w:val="rvps15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37908"/>
  </w:style>
  <w:style w:type="character" w:customStyle="1" w:styleId="rvts15">
    <w:name w:val="rvts15"/>
    <w:basedOn w:val="a0"/>
    <w:rsid w:val="00037908"/>
  </w:style>
  <w:style w:type="character" w:customStyle="1" w:styleId="rvts37">
    <w:name w:val="rvts37"/>
    <w:basedOn w:val="a0"/>
    <w:rsid w:val="00037908"/>
  </w:style>
  <w:style w:type="character" w:customStyle="1" w:styleId="rvts11">
    <w:name w:val="rvts11"/>
    <w:basedOn w:val="a0"/>
    <w:rsid w:val="00037908"/>
  </w:style>
  <w:style w:type="paragraph" w:styleId="a7">
    <w:name w:val="Balloon Text"/>
    <w:basedOn w:val="a"/>
    <w:link w:val="a8"/>
    <w:uiPriority w:val="99"/>
    <w:semiHidden/>
    <w:unhideWhenUsed/>
    <w:rsid w:val="0078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1D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Пользователь Windows</cp:lastModifiedBy>
  <cp:revision>29</cp:revision>
  <cp:lastPrinted>2021-04-01T05:24:00Z</cp:lastPrinted>
  <dcterms:created xsi:type="dcterms:W3CDTF">2021-04-09T08:40:00Z</dcterms:created>
  <dcterms:modified xsi:type="dcterms:W3CDTF">2021-09-02T08:56:00Z</dcterms:modified>
</cp:coreProperties>
</file>